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注射用A型肉毒毒素（衡力）临床应用研究进展  2011-2010十年国内论文精选</w:t>
      </w:r>
    </w:p>
    <w:p>
      <w:r>
        <w:rPr>
          <w:rFonts w:ascii="宋体" w:hAnsi="宋体" w:eastAsia="宋体"/>
          <w:sz w:val="24"/>
        </w:rPr>
        <w:t>王荫春编著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注射用A型肉毒毒素（衡力）临床应用研究进展  2011-2010十年国内论文精选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兰州生物制品研究所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本书出售、求购地址：https://www.jiaokey.com/book/detail/13181277.html</w:t>
      </w:r>
    </w:p>
    <w:p>
      <w:r>
        <w:t>更多相关图书推荐：https://www.jiaokey.com</w:t>
      </w:r>
    </w:p>
    <w:p>
      <w:r>
        <w:t>王荫春编著 其他作品：https://www.jiaokey.com/tag/王荫春编著.html</w:t>
      </w:r>
    </w:p>
    <w:p>
      <w:r>
        <w:t>兰州生物制品研究所 出版图书：https://www.jiaokey.com/tag/兰州生物制品研究所.html</w:t>
      </w:r>
    </w:p>
    <w:p>
      <w:r>
        <w:t>关键词搜索：https://www.jiaokey.com/tag/注射用A型肉毒毒素（衡力）临床应用研究进展  2011-2010十年国内论文精选.html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