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洛阳五十年</w:t>
      </w:r>
    </w:p>
    <w:p>
      <w:r>
        <w:rPr>
          <w:rFonts w:ascii="宋体" w:hAnsi="宋体" w:eastAsia="宋体"/>
          <w:sz w:val="24"/>
        </w:rPr>
        <w:t>赵建洛主编；谢玉芬，孙君奎，杨延廷，延继业副主编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赵建洛主编；谢玉芬，孙君奎，杨延廷，延继业副主编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本书出售、求购地址：https://www.jiaokey.com/book/detail/13180278.html</w:t>
      </w:r>
    </w:p>
    <w:p>
      <w:r>
        <w:t>更多相关图书推荐：https://www.jiaokey.com</w:t>
      </w:r>
    </w:p>
    <w:p>
      <w:r>
        <w:t>赵建洛主编；谢玉芬，孙君奎，杨延廷，延继业副主编 其他作品：https://www.jiaokey.com/tag/赵建洛主编；谢玉芬，孙君奎，杨延廷，延继业副主编.html</w:t>
      </w:r>
    </w:p>
    <w:p>
      <w:r>
        <w:t>洛阳市统计局 出版图书：https://www.jiaokey.com/tag/洛阳市统计局.html</w:t>
      </w:r>
    </w:p>
    <w:p>
      <w:r>
        <w:t>关键词搜索：https://www.jiaokey.com/tag/洛阳五十年.html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