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伦理委员会制度与操作规程</w:t>
      </w:r>
    </w:p>
    <w:p>
      <w:r>
        <w:rPr>
          <w:rFonts w:ascii="宋体" w:hAnsi="宋体" w:eastAsia="宋体"/>
          <w:sz w:val="24"/>
        </w:rPr>
        <w:t>熊宁宁，李昱主编辑；刘海涛主审；江秀琴，王思成执行主编；胡晋红，蒋健，黄瑾，邹冲，王燕平副主编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伦理委员会制度与操作规程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熊宁宁，李昱主编辑；刘海涛主审；江秀琴，王思成执行主编；胡晋红，蒋健，黄瑾，邹冲，王燕平副主编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本书出售、求购地址：https://www.jiaokey.com/book/detail/13178742.html</w:t>
      </w:r>
    </w:p>
    <w:p>
      <w:r>
        <w:t>更多相关图书推荐：https://www.jiaokey.com</w:t>
      </w:r>
    </w:p>
    <w:p>
      <w:r>
        <w:t>熊宁宁，李昱主编辑；刘海涛主审；江秀琴，王思成执行主编；胡晋红，蒋健，黄瑾，邹冲，王燕平副主编 其他作品：https://www.jiaokey.com/tag/熊宁宁，李昱主编辑；刘海涛主审；江秀琴，王思成执行主编；胡晋红，蒋健，黄瑾，邹冲，王燕平副主编.html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关键词搜索：https://www.jiaokey.com/tag/伦理委员会制度与操作规程.html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