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广告原理与策划</w:t>
      </w:r>
    </w:p>
    <w:p>
      <w:r>
        <w:rPr>
          <w:rFonts w:ascii="宋体" w:hAnsi="宋体" w:eastAsia="宋体"/>
          <w:sz w:val="24"/>
        </w:rPr>
        <w:t>章军主编；付琳，方芳副主编；方芳，毛德成，付琳等编写人员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章军主编；付琳，方芳副主编；方芳，毛德成，付琳等编写人员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本书出售、求购地址：https://www.jiaokey.com/book/detail/13178186.html</w:t>
      </w:r>
    </w:p>
    <w:p>
      <w:r>
        <w:t>更多相关图书推荐：https://www.jiaokey.com</w:t>
      </w:r>
    </w:p>
    <w:p>
      <w:r>
        <w:t>章军主编；付琳，方芳副主编；方芳，毛德成，付琳等编写人员 其他作品：https://www.jiaokey.com/tag/章军主编；付琳，方芳副主编；方芳，毛德成，付琳等编写人员.html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关键词搜索：https://www.jiaokey.com/tag/广告原理与策划.html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