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税收的逻辑  纳税人应该知道的基本财税常识</w:t>
      </w:r>
    </w:p>
    <w:p>
      <w:r>
        <w:rPr>
          <w:rFonts w:ascii="宋体" w:hAnsi="宋体" w:eastAsia="宋体"/>
          <w:sz w:val="24"/>
        </w:rPr>
        <w:t>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税收的逻辑  纳税人应该知道的基本财税常识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本书出售、求购地址：https://www.jiaokey.com/book/detail/13178062.html</w:t>
      </w:r>
    </w:p>
    <w:p>
      <w:r>
        <w:t>更多相关图书推荐：https://www.jiaokey.com</w:t>
      </w:r>
    </w:p>
    <w:p>
      <w:r>
        <w:t>李炜光著 其他作品：https://www.jiaokey.com/tag/李炜光著.html</w:t>
      </w:r>
    </w:p>
    <w:p>
      <w:r>
        <w:t>广州：广东世界图书出版公司 出版图书：https://www.jiaokey.com/tag/广州：广东世界图书出版公司.html</w:t>
      </w:r>
    </w:p>
    <w:p>
      <w:r>
        <w:t>关键词搜索：https://www.jiaokey.com/tag/税收的逻辑  纳税人应该知道的基本财税常识.html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