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  第3版</w:t>
      </w:r>
    </w:p>
    <w:p>
      <w:r>
        <w:rPr>
          <w:rFonts w:ascii="宋体" w:hAnsi="宋体" w:eastAsia="宋体"/>
          <w:sz w:val="24"/>
        </w:rPr>
        <w:t>骆红波，邓昶，刘锦萍主编；顾国松，梁田，方玫副主编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骆红波，邓昶，刘锦萍主编；顾国松，梁田，方玫副主编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本书出售、求购地址：https://www.jiaokey.com/book/detail/13176384.html</w:t>
      </w:r>
    </w:p>
    <w:p>
      <w:r>
        <w:t>更多相关图书推荐：https://www.jiaokey.com</w:t>
      </w:r>
    </w:p>
    <w:p>
      <w:r>
        <w:t>骆红波，邓昶，刘锦萍主编；顾国松，梁田，方玫副主编 其他作品：https://www.jiaokey.com/tag/骆红波，邓昶，刘锦萍主编；顾国松，梁田，方玫副主编.html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