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核材料衡算与控制</w:t>
      </w:r>
    </w:p>
    <w:p>
      <w:r>
        <w:rPr>
          <w:rFonts w:ascii="宋体" w:hAnsi="宋体" w:eastAsia="宋体"/>
          <w:sz w:val="24"/>
        </w:rPr>
        <w:t>胡晓丹，丁戈龙，刘文彬主编；孙银峰，刘文彬，付云杉译；丁戈龙，甘霖，刘秋生等审校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核材料衡算与控制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胡晓丹，丁戈龙，刘文彬主编；孙银峰，刘文彬，付云杉译；丁戈龙，甘霖，刘秋生等审校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本书出售、求购地址：https://www.jiaokey.com/book/detail/13172602.html</w:t>
      </w:r>
    </w:p>
    <w:p>
      <w:r>
        <w:t>更多相关图书推荐：https://www.jiaokey.com</w:t>
      </w:r>
    </w:p>
    <w:p>
      <w:r>
        <w:t>胡晓丹，丁戈龙，刘文彬主编；孙银峰，刘文彬，付云杉译；丁戈龙，甘霖，刘秋生等审校 其他作品：https://www.jiaokey.com/tag/胡晓丹，丁戈龙，刘文彬主编；孙银峰，刘文彬，付云杉译；丁戈龙，甘霖，刘秋生等审校.html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关键词搜索：https://www.jiaokey.com/tag/核材料衡算与控制.html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