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欧洲能源法概论</w:t>
      </w:r>
    </w:p>
    <w:p>
      <w:r>
        <w:rPr>
          <w:rFonts w:ascii="宋体" w:hAnsi="宋体" w:eastAsia="宋体"/>
          <w:sz w:val="24"/>
        </w:rPr>
        <w:t>杨解君主编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欧洲能源法概论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本书出售、求购地址：https://www.jiaokey.com/book/detail/13171289.html</w:t>
      </w:r>
    </w:p>
    <w:p>
      <w:r>
        <w:t>更多相关图书推荐：https://www.jiaokey.com</w:t>
      </w:r>
    </w:p>
    <w:p>
      <w:r>
        <w:t>杨解君主编 其他作品：https://www.jiaokey.com/tag/杨解君主编.html</w:t>
      </w:r>
    </w:p>
    <w:p>
      <w:r>
        <w:t>广州：世界图书出版广东有限公司 出版图书：https://www.jiaokey.com/tag/广州：世界图书出版广东有限公司.html</w:t>
      </w:r>
    </w:p>
    <w:p>
      <w:r>
        <w:t>关键词搜索：https://www.jiaokey.com/tag/欧洲能源法概论.html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