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法令解释分类目表</w:t>
      </w:r>
    </w:p>
    <w:p>
      <w:r>
        <w:rPr>
          <w:rFonts w:ascii="宋体" w:hAnsi="宋体" w:eastAsia="宋体"/>
          <w:sz w:val="24"/>
        </w:rPr>
        <w:t>天虚我生编；陈庆雯校订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法令解释分类目表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天虚我生编；陈庆雯校订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本书出售、求购地址：https://www.jiaokey.com/book/detail/13166572.html</w:t>
      </w:r>
    </w:p>
    <w:p>
      <w:r>
        <w:t>更多相关图书推荐：https://www.jiaokey.com</w:t>
      </w:r>
    </w:p>
    <w:p>
      <w:r>
        <w:t>天虚我生编；陈庆雯校订 其他作品：https://www.jiaokey.com/tag/天虚我生编；陈庆雯校订.html</w:t>
      </w:r>
    </w:p>
    <w:p>
      <w:r>
        <w:t>中华图书馆 出版图书：https://www.jiaokey.com/tag/中华图书馆.html</w:t>
      </w:r>
    </w:p>
    <w:p>
      <w:r>
        <w:t>关键词搜索：https://www.jiaokey.com/tag/法令解释分类目表.html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