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民事诉讼书式集</w:t>
      </w:r>
    </w:p>
    <w:p>
      <w:r>
        <w:rPr>
          <w:rFonts w:ascii="宋体" w:hAnsi="宋体" w:eastAsia="宋体"/>
          <w:sz w:val="24"/>
        </w:rPr>
        <w:t>金泽洁著；李竹宅译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民事诉讼书式集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金泽洁著；李竹宅译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福文洪铭记印书局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本书出售、求购地址：https://www.jiaokey.com/book/detail/13166452.html</w:t>
      </w:r>
    </w:p>
    <w:p>
      <w:r>
        <w:t>更多相关图书推荐：https://www.jiaokey.com</w:t>
      </w:r>
    </w:p>
    <w:p>
      <w:r>
        <w:t>金泽洁著；李竹宅译 其他作品：https://www.jiaokey.com/tag/金泽洁著；李竹宅译.html</w:t>
      </w:r>
    </w:p>
    <w:p>
      <w:r>
        <w:t>福文洪铭记印书局 出版图书：https://www.jiaokey.com/tag/福文洪铭记印书局.html</w:t>
      </w:r>
    </w:p>
    <w:p>
      <w:r>
        <w:t>关键词搜索：https://www.jiaokey.com/tag/民事诉讼书式集.html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