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微生物资源及利用</w:t>
      </w:r>
    </w:p>
    <w:p>
      <w:r>
        <w:rPr>
          <w:rFonts w:ascii="宋体" w:hAnsi="宋体" w:eastAsia="宋体"/>
          <w:sz w:val="24"/>
        </w:rPr>
        <w:t>燕红，代英杰，彭显龙主编；刘华晶，张文龙，李维宏副主编；车京玉，邹瑜参编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微生物资源及利用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燕红，代英杰，彭显龙主编；刘华晶，张文龙，李维宏副主编；车京玉，邹瑜参编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本书出售、求购地址：https://www.jiaokey.com/book/detail/13165255.html</w:t>
      </w:r>
    </w:p>
    <w:p>
      <w:r>
        <w:t>更多相关图书推荐：https://www.jiaokey.com</w:t>
      </w:r>
    </w:p>
    <w:p>
      <w:r>
        <w:t>燕红，代英杰，彭显龙主编；刘华晶，张文龙，李维宏副主编；车京玉，邹瑜参编 其他作品：https://www.jiaokey.com/tag/燕红，代英杰，彭显龙主编；刘华晶，张文龙，李维宏副主编；车京玉，邹瑜参编.html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关键词搜索：https://www.jiaokey.com/tag/微生物资源及利用.html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