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第11册  著述  诗文  书札  附录</w:t>
      </w:r>
    </w:p>
    <w:p>
      <w:r>
        <w:rPr>
          <w:rFonts w:ascii="宋体" w:hAnsi="宋体" w:eastAsia="宋体"/>
          <w:sz w:val="24"/>
        </w:rPr>
        <w:t>苑书义，孙华峰，李秉新主编；秦进才常务副主编；吕苏生，徐俊元，孙广权等副主编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第11册  著述  诗文  书札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苑书义，孙华峰，李秉新主编；秦进才常务副主编；吕苏生，徐俊元，孙广权等副主编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本书出售、求购地址：https://www.jiaokey.com/book/detail/13165065.html</w:t>
      </w:r>
    </w:p>
    <w:p>
      <w:r>
        <w:t>更多相关图书推荐：https://www.jiaokey.com</w:t>
      </w:r>
    </w:p>
    <w:p>
      <w:r>
        <w:t>苑书义，孙华峰，李秉新主编；秦进才常务副主编；吕苏生，徐俊元，孙广权等副主编 其他作品：https://www.jiaokey.com/tag/苑书义，孙华峰，李秉新主编；秦进才常务副主编；吕苏生，徐俊元，孙广权等副主编.html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第11册  著述  诗文  书札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