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新订国民政府司法例规  2  审判、民事、刑事</w:t>
      </w:r>
    </w:p>
    <w:p>
      <w:r>
        <w:rPr>
          <w:rFonts w:ascii="宋体" w:hAnsi="宋体" w:eastAsia="宋体"/>
          <w:sz w:val="24"/>
        </w:rPr>
        <w:t>司法院参事处编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新订国民政府司法例规  2  审判、民事、刑事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本书出售、求购地址：https://www.jiaokey.com/book/detail/13163950.html</w:t>
      </w:r>
    </w:p>
    <w:p>
      <w:r>
        <w:t>更多相关图书推荐：https://www.jiaokey.com</w:t>
      </w:r>
    </w:p>
    <w:p>
      <w:r>
        <w:t>司法院参事处编 其他作品：https://www.jiaokey.com/tag/司法院参事处编.html</w:t>
      </w:r>
    </w:p>
    <w:p>
      <w:r>
        <w:t>司法院秘书处 出版图书：https://www.jiaokey.com/tag/司法院秘书处.html</w:t>
      </w:r>
    </w:p>
    <w:p>
      <w:r>
        <w:t>关键词搜索：https://www.jiaokey.com/tag/新订国民政府司法例规  2  审判、民事、刑事.html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