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县各级组织纲要</w:t>
      </w:r>
    </w:p>
    <w:p>
      <w:r>
        <w:rPr>
          <w:rFonts w:ascii="宋体" w:hAnsi="宋体" w:eastAsia="宋体"/>
          <w:sz w:val="24"/>
        </w:rPr>
        <w:t>行政院县政计划委员会编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县各级组织纲要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行政院县政计划委员会编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本书出售、求购地址：https://www.jiaokey.com/book/detail/13163395.html</w:t>
      </w:r>
    </w:p>
    <w:p>
      <w:r>
        <w:t>更多相关图书推荐：https://www.jiaokey.com</w:t>
      </w:r>
    </w:p>
    <w:p>
      <w:r>
        <w:t>行政院县政计划委员会编 其他作品：https://www.jiaokey.com/tag/行政院县政计划委员会编.html</w:t>
      </w:r>
    </w:p>
    <w:p>
      <w:r>
        <w:t>正中书局 出版图书：https://www.jiaokey.com/tag/正中书局.html</w:t>
      </w:r>
    </w:p>
    <w:p>
      <w:r>
        <w:t>关键词搜索：https://www.jiaokey.com/tag/县各级组织纲要.html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