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牙髓病临床病例解析</w:t>
      </w:r>
    </w:p>
    <w:p>
      <w:r>
        <w:rPr>
          <w:rFonts w:ascii="宋体" w:hAnsi="宋体" w:eastAsia="宋体"/>
          <w:sz w:val="24"/>
        </w:rPr>
        <w:t>（英）佩特，（英）邓肯主编；仇丽鸿主译；梁景平主审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牙髓病临床病例解析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（英）佩特，（英）邓肯主编；仇丽鸿主译；梁景平主审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本书出售、求购地址：https://www.jiaokey.com/book/detail/13160337.html</w:t>
      </w:r>
    </w:p>
    <w:p>
      <w:r>
        <w:t>更多相关图书推荐：https://www.jiaokey.com</w:t>
      </w:r>
    </w:p>
    <w:p>
      <w:r>
        <w:t>（英）佩特，（英）邓肯主编；仇丽鸿主译；梁景平主审 其他作品：https://www.jiaokey.com/tag/（英）佩特，（英）邓肯主编；仇丽鸿主译；梁景平主审.html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关键词搜索：https://www.jiaokey.com/tag/牙髓病临床病例解析.html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