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八二迫击炮射表</w:t>
      </w:r>
    </w:p>
    <w:p>
      <w:r>
        <w:rPr>
          <w:rFonts w:ascii="宋体" w:hAnsi="宋体" w:eastAsia="宋体"/>
          <w:sz w:val="24"/>
        </w:rPr>
        <w:t>交通部第二交通警察总局警务处编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八二迫击炮射表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交通部第二交通警察总局警务处编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本书出售、求购地址：https://www.jiaokey.com/book/detail/13159690.html</w:t>
      </w:r>
    </w:p>
    <w:p>
      <w:r>
        <w:t>更多相关图书推荐：https://www.jiaokey.com</w:t>
      </w:r>
    </w:p>
    <w:p>
      <w:r>
        <w:t>交通部第二交通警察总局警务处编 其他作品：https://www.jiaokey.com/tag/交通部第二交通警察总局警务处编.html</w:t>
      </w:r>
    </w:p>
    <w:p>
      <w:r>
        <w:t>武学印书店馆 出版图书：https://www.jiaokey.com/tag/武学印书店馆.html</w:t>
      </w:r>
    </w:p>
    <w:p>
      <w:r>
        <w:t>关键词搜索：https://www.jiaokey.com/tag/八二迫击炮射表.html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