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内务条令  纪律条令草案</w:t>
      </w:r>
    </w:p>
    <w:p>
      <w:r>
        <w:rPr>
          <w:rFonts w:ascii="宋体" w:hAnsi="宋体" w:eastAsia="宋体"/>
          <w:sz w:val="24"/>
        </w:rPr>
        <w:t>辽东铁梅支队司令部编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内务条令  纪律条令草案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辽东铁梅支队司令部编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东北军政大学总校编委会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本书出售、求购地址：https://www.jiaokey.com/book/detail/13159585.html</w:t>
      </w:r>
    </w:p>
    <w:p>
      <w:r>
        <w:t>更多相关图书推荐：https://www.jiaokey.com</w:t>
      </w:r>
    </w:p>
    <w:p>
      <w:r>
        <w:t>辽东铁梅支队司令部编 其他作品：https://www.jiaokey.com/tag/辽东铁梅支队司令部编.html</w:t>
      </w:r>
    </w:p>
    <w:p>
      <w:r>
        <w:t>东北军政大学总校编委会 出版图书：https://www.jiaokey.com/tag/东北军政大学总校编委会.html</w:t>
      </w:r>
    </w:p>
    <w:p>
      <w:r>
        <w:t>关键词搜索：https://www.jiaokey.com/tag/内务条令  纪律条令草案.html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