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公民学课程大纲</w:t>
      </w:r>
    </w:p>
    <w:p>
      <w:r>
        <w:rPr>
          <w:rFonts w:ascii="宋体" w:hAnsi="宋体" w:eastAsia="宋体"/>
          <w:sz w:val="24"/>
        </w:rPr>
        <w:t>（苏）爱伦堡著；松江编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公民学课程大纲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本书出售、求购地址：https://www.jiaokey.com/book/detail/13159119.html</w:t>
      </w:r>
    </w:p>
    <w:p>
      <w:r>
        <w:t>更多相关图书推荐：https://www.jiaokey.com</w:t>
      </w:r>
    </w:p>
    <w:p>
      <w:r>
        <w:t>（苏）爱伦堡著；松江编 其他作品：https://www.jiaokey.com/tag/（苏）爱伦堡著；松江编.html</w:t>
      </w:r>
    </w:p>
    <w:p>
      <w:r>
        <w:t>吉林书店 出版图书：https://www.jiaokey.com/tag/吉林书店.html</w:t>
      </w:r>
    </w:p>
    <w:p>
      <w:r>
        <w:t>关键词搜索：https://www.jiaokey.com/tag/公民学课程大纲.html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