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中国革命基本问题</w:t>
      </w:r>
    </w:p>
    <w:p>
      <w:r>
        <w:rPr>
          <w:rFonts w:ascii="宋体" w:hAnsi="宋体" w:eastAsia="宋体"/>
          <w:sz w:val="24"/>
        </w:rPr>
        <w:t>王向升，刘毅编；天津市总工会筹委会选订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王向升，刘毅编；天津市总工会筹委会选订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本书出售、求购地址：https://www.jiaokey.com/book/detail/13154980.html</w:t>
      </w:r>
    </w:p>
    <w:p>
      <w:r>
        <w:t>更多相关图书推荐：https://www.jiaokey.com</w:t>
      </w:r>
    </w:p>
    <w:p>
      <w:r>
        <w:t>王向升，刘毅编；天津市总工会筹委会选订 其他作品：https://www.jiaokey.com/tag/王向升，刘毅编；天津市总工会筹委会选订.html</w:t>
      </w:r>
    </w:p>
    <w:p>
      <w:r>
        <w:t>知识书店 出版图书：https://www.jiaokey.com/tag/知识书店.html</w:t>
      </w:r>
    </w:p>
    <w:p>
      <w:r>
        <w:t>关键词搜索：https://www.jiaokey.com/tag/中国革命基本问题.html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