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英美契约法律原则  及英文商务契约导读</w:t>
      </w:r>
    </w:p>
    <w:p>
      <w:r>
        <w:rPr>
          <w:rFonts w:ascii="宋体" w:hAnsi="宋体" w:eastAsia="宋体"/>
          <w:sz w:val="24"/>
        </w:rPr>
        <w:t>金玉莹总审订；何曜琛，张馨云，林志键等著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英美契约法律原则  及英文商务契约导读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金玉莹总审订；何曜琛，张馨云，林志键等著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建业法律事务所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本书出售、求购地址：https://www.jiaokey.com/book/detail/13153008.html</w:t>
      </w:r>
    </w:p>
    <w:p>
      <w:r>
        <w:t>更多相关图书推荐：https://www.jiaokey.com</w:t>
      </w:r>
    </w:p>
    <w:p>
      <w:r>
        <w:t>金玉莹总审订；何曜琛，张馨云，林志键等著 其他作品：https://www.jiaokey.com/tag/金玉莹总审订；何曜琛，张馨云，林志键等著.html</w:t>
      </w:r>
    </w:p>
    <w:p>
      <w:r>
        <w:t>建业法律事务所 出版图书：https://www.jiaokey.com/tag/建业法律事务所.html</w:t>
      </w:r>
    </w:p>
    <w:p>
      <w:r>
        <w:t>关键词搜索：https://www.jiaokey.com/tag/英美契约法律原则  及英文商务契约导读.html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