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ECFA时代的大陆产业政策法  最新法规解读案例分析与风险提示</w:t>
      </w:r>
    </w:p>
    <w:p>
      <w:r>
        <w:rPr>
          <w:rFonts w:ascii="宋体" w:hAnsi="宋体" w:eastAsia="宋体"/>
          <w:sz w:val="24"/>
        </w:rPr>
        <w:t>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ECFA时代的大陆产业政策法  最新法规解读案例分析与风险提示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本书出售、求购地址：https://www.jiaokey.com/book/detail/13152941.html</w:t>
      </w:r>
    </w:p>
    <w:p>
      <w:r>
        <w:t>更多相关图书推荐：https://www.jiaokey.com</w:t>
      </w:r>
    </w:p>
    <w:p>
      <w:r>
        <w:t>冯辉著 其他作品：https://www.jiaokey.com/tag/冯辉著.html</w:t>
      </w:r>
    </w:p>
    <w:p>
      <w:r>
        <w:t>商周出版社 出版图书：https://www.jiaokey.com/tag/商周出版社.html</w:t>
      </w:r>
    </w:p>
    <w:p>
      <w:r>
        <w:t>关键词搜索：https://www.jiaokey.com/tag/ECFA时代的大陆产业政策法  最新法规解读案例分析与风险提示.html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