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机变巧诈  两湖事变前后军系互动的分析</w:t>
      </w:r>
    </w:p>
    <w:p>
      <w:r>
        <w:rPr>
          <w:rFonts w:ascii="宋体" w:hAnsi="宋体" w:eastAsia="宋体"/>
          <w:sz w:val="24"/>
        </w:rPr>
        <w:t>陈进金著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机变巧诈  两湖事变前后军系互动的分析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本书出售、求购地址：https://www.jiaokey.com/book/detail/13152632.html</w:t>
      </w:r>
    </w:p>
    <w:p>
      <w:r>
        <w:t>更多相关图书推荐：https://www.jiaokey.com</w:t>
      </w:r>
    </w:p>
    <w:p>
      <w:r>
        <w:t>陈进金著 其他作品：https://www.jiaokey.com/tag/陈进金著.html</w:t>
      </w:r>
    </w:p>
    <w:p>
      <w:r>
        <w:t>辅仁大学出版社 出版图书：https://www.jiaokey.com/tag/辅仁大学出版社.html</w:t>
      </w:r>
    </w:p>
    <w:p>
      <w:r>
        <w:t>关键词搜索：https://www.jiaokey.com/tag/机变巧诈  两湖事变前后军系互动的分析.html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