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架构的生态系  资讯环境被如何设计至今</w:t>
      </w:r>
    </w:p>
    <w:p>
      <w:r>
        <w:rPr>
          <w:rFonts w:ascii="宋体" w:hAnsi="宋体" w:eastAsia="宋体"/>
          <w:sz w:val="24"/>
        </w:rPr>
        <w:t>滨野智史著；苏文淑译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架构的生态系  资讯环境被如何设计至今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滨野智史著；苏文淑译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大鸿艺术股份有限公司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本书出售、求购地址：https://www.jiaokey.com/book/detail/13152595.html</w:t>
      </w:r>
    </w:p>
    <w:p>
      <w:r>
        <w:t>更多相关图书推荐：https://www.jiaokey.com</w:t>
      </w:r>
    </w:p>
    <w:p>
      <w:r>
        <w:t>滨野智史著；苏文淑译 其他作品：https://www.jiaokey.com/tag/滨野智史著；苏文淑译.html</w:t>
      </w:r>
    </w:p>
    <w:p>
      <w:r>
        <w:t>大鸿艺术股份有限公司 出版图书：https://www.jiaokey.com/tag/大鸿艺术股份有限公司.html</w:t>
      </w:r>
    </w:p>
    <w:p>
      <w:r>
        <w:t>关键词搜索：https://www.jiaokey.com/tag/架构的生态系  资讯环境被如何设计至今.html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