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文明病开创的药物新商机  中枢神经药物</w:t>
      </w:r>
    </w:p>
    <w:p>
      <w:r>
        <w:rPr>
          <w:rFonts w:ascii="宋体" w:hAnsi="宋体" w:eastAsia="宋体"/>
          <w:sz w:val="24"/>
        </w:rPr>
        <w:t>巫文玲，廖宜建著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文明病开创的药物新商机  中枢神经药物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巫文玲，廖宜建著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财团法人生物技术开发中心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本书出售、求购地址：https://www.jiaokey.com/book/detail/13152588.html</w:t>
      </w:r>
    </w:p>
    <w:p>
      <w:r>
        <w:t>更多相关图书推荐：https://www.jiaokey.com</w:t>
      </w:r>
    </w:p>
    <w:p>
      <w:r>
        <w:t>巫文玲，廖宜建著 其他作品：https://www.jiaokey.com/tag/巫文玲，廖宜建著.html</w:t>
      </w:r>
    </w:p>
    <w:p>
      <w:r>
        <w:t>财团法人生物技术开发中心 出版图书：https://www.jiaokey.com/tag/财团法人生物技术开发中心.html</w:t>
      </w:r>
    </w:p>
    <w:p>
      <w:r>
        <w:t>关键词搜索：https://www.jiaokey.com/tag/文明病开创的药物新商机  中枢神经药物.html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