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老年人生理正常参考值</w:t>
      </w:r>
    </w:p>
    <w:p>
      <w:r>
        <w:rPr>
          <w:rFonts w:ascii="宋体" w:hAnsi="宋体" w:eastAsia="宋体"/>
          <w:sz w:val="24"/>
        </w:rPr>
        <w:t>李晖，刘汴生主编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老年人生理正常参考值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李晖，刘汴生主编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中华医学会湖北分会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本书出售、求购地址：https://www.jiaokey.com/book/detail/13152525.html</w:t>
      </w:r>
    </w:p>
    <w:p>
      <w:r>
        <w:t>更多相关图书推荐：https://www.jiaokey.com</w:t>
      </w:r>
    </w:p>
    <w:p>
      <w:r>
        <w:t>李晖，刘汴生主编 其他作品：https://www.jiaokey.com/tag/李晖，刘汴生主编.html</w:t>
      </w:r>
    </w:p>
    <w:p>
      <w:r>
        <w:t>中华医学会湖北分会 出版图书：https://www.jiaokey.com/tag/中华医学会湖北分会.html</w:t>
      </w:r>
    </w:p>
    <w:p>
      <w:r>
        <w:t>关键词搜索：https://www.jiaokey.com/tag/老年人生理正常参考值.html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