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承志铸魂兴城  打造辛亥武昌首义品牌20年</w:t>
      </w:r>
    </w:p>
    <w:p>
      <w:r>
        <w:rPr>
          <w:rFonts w:ascii="宋体" w:hAnsi="宋体" w:eastAsia="宋体"/>
          <w:sz w:val="24"/>
        </w:rPr>
        <w:t>政协武汉市武昌区委员会编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承志铸魂兴城  打造辛亥武昌首义品牌20年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政协武汉市武昌区委员会编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本书出售、求购地址：https://www.jiaokey.com/book/detail/13149966.html</w:t>
      </w:r>
    </w:p>
    <w:p>
      <w:r>
        <w:t>更多相关图书推荐：https://www.jiaokey.com</w:t>
      </w:r>
    </w:p>
    <w:p>
      <w:r>
        <w:t>政协武汉市武昌区委员会编 其他作品：https://www.jiaokey.com/tag/政协武汉市武昌区委员会编.html</w:t>
      </w:r>
    </w:p>
    <w:p>
      <w:r>
        <w:t>北京：中国科学文化音像出版社 出版图书：https://www.jiaokey.com/tag/北京：中国科学文化音像出版社.html</w:t>
      </w:r>
    </w:p>
    <w:p>
      <w:r>
        <w:t>关键词搜索：https://www.jiaokey.com/tag/承志铸魂兴城  打造辛亥武昌首义品牌20年.html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