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生态水文学  过程、模型和实例  水资源可持续管理的方法</w:t>
      </w:r>
    </w:p>
    <w:p>
      <w:r>
        <w:rPr>
          <w:rFonts w:ascii="宋体" w:hAnsi="宋体" w:eastAsia="宋体"/>
          <w:sz w:val="24"/>
        </w:rPr>
        <w:t>DAVIDHARPER（大卫·哈珀），MACIEJZALEWSKI（马切伊·察莱夫斯基），NICPACINI（尼可·帕希尼）编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生态水文学  过程、模型和实例  水资源可持续管理的方法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DAVIDHARPER（大卫·哈珀），MACIEJZALEWSKI（马切伊·察莱夫斯基），NICPACINI（尼可·帕希尼）编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本书出售、求购地址：https://www.jiaokey.com/book/detail/13149307.html</w:t>
      </w:r>
    </w:p>
    <w:p>
      <w:r>
        <w:t>更多相关图书推荐：https://www.jiaokey.com</w:t>
      </w:r>
    </w:p>
    <w:p>
      <w:r>
        <w:t>DAVIDHARPER（大卫·哈珀），MACIEJZALEWSKI（马切伊·察莱夫斯基），NICPACINI（尼可·帕希尼）编 其他作品：https://www.jiaokey.com/tag/DAVIDHARPER（大卫·哈珀），MACIEJZALEWSKI（马切伊·察莱夫斯基），NICPACINI（尼可·帕希尼）编.html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关键词搜索：https://www.jiaokey.com/tag/生态水文学  过程、模型和实例  水资源可持续管理的方法.html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