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经济立法作为经济辅助手段之研究</w:t>
      </w:r>
    </w:p>
    <w:p>
      <w:r>
        <w:rPr>
          <w:rFonts w:ascii="宋体" w:hAnsi="宋体" w:eastAsia="宋体"/>
          <w:sz w:val="24"/>
        </w:rPr>
        <w:t>沈智慧著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经济立法作为经济辅助手段之研究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沈智慧著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风云论坛有限公司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本书出售、求购地址：https://www.jiaokey.com/book/detail/13148669.html</w:t>
      </w:r>
    </w:p>
    <w:p>
      <w:r>
        <w:t>更多相关图书推荐：https://www.jiaokey.com</w:t>
      </w:r>
    </w:p>
    <w:p>
      <w:r>
        <w:t>沈智慧著 其他作品：https://www.jiaokey.com/tag/沈智慧著.html</w:t>
      </w:r>
    </w:p>
    <w:p>
      <w:r>
        <w:t>风云论坛有限公司 出版图书：https://www.jiaokey.com/tag/风云论坛有限公司.html</w:t>
      </w:r>
    </w:p>
    <w:p>
      <w:r>
        <w:t>关键词搜索：https://www.jiaokey.com/tag/经济立法作为经济辅助手段之研究.html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