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活水利生  台湾水利与区域环境的互动</w:t>
      </w:r>
    </w:p>
    <w:p>
      <w:r>
        <w:rPr>
          <w:rFonts w:ascii="宋体" w:hAnsi="宋体" w:eastAsia="宋体"/>
          <w:sz w:val="24"/>
        </w:rPr>
        <w:t>陈鸿图著；李中邦，唐屹轩编辑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活水利生  台湾水利与区域环境的互动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陈鸿图著；李中邦，唐屹轩编辑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本书出售、求购地址：https://www.jiaokey.com/book/detail/13148644.html</w:t>
      </w:r>
    </w:p>
    <w:p>
      <w:r>
        <w:t>更多相关图书推荐：https://www.jiaokey.com</w:t>
      </w:r>
    </w:p>
    <w:p>
      <w:r>
        <w:t>陈鸿图著；李中邦，唐屹轩编辑 其他作品：https://www.jiaokey.com/tag/陈鸿图著；李中邦，唐屹轩编辑.html</w:t>
      </w:r>
    </w:p>
    <w:p>
      <w:r>
        <w:t>文英堂出版社 出版图书：https://www.jiaokey.com/tag/文英堂出版社.html</w:t>
      </w:r>
    </w:p>
    <w:p>
      <w:r>
        <w:t>关键词搜索：https://www.jiaokey.com/tag/活水利生  台湾水利与区域环境的互动.html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