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债务清理与债权确保  消费者债务清理条例与继承法新制介绍</w:t>
      </w:r>
    </w:p>
    <w:p>
      <w:r>
        <w:rPr>
          <w:rFonts w:ascii="宋体" w:hAnsi="宋体" w:eastAsia="宋体"/>
          <w:sz w:val="24"/>
        </w:rPr>
        <w:t>陈建成编著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债务清理与债权确保  消费者债务清理条例与继承法新制介绍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中华民国农民团体干部联合训练协会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本书出售、求购地址：https://www.jiaokey.com/book/detail/13148623.html</w:t>
      </w:r>
    </w:p>
    <w:p>
      <w:r>
        <w:t>更多相关图书推荐：https://www.jiaokey.com</w:t>
      </w:r>
    </w:p>
    <w:p>
      <w:r>
        <w:t>陈建成编著 其他作品：https://www.jiaokey.com/tag/陈建成编著.html</w:t>
      </w:r>
    </w:p>
    <w:p>
      <w:r>
        <w:t>中华民国农民团体干部联合训练协会 出版图书：https://www.jiaokey.com/tag/中华民国农民团体干部联合训练协会.html</w:t>
      </w:r>
    </w:p>
    <w:p>
      <w:r>
        <w:t>关键词搜索：https://www.jiaokey.com/tag/债务清理与债权确保  消费者债务清理条例与继承法新制介绍.html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