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2266-2008《索引编制规则（总则）》应用指南</w:t>
      </w:r>
    </w:p>
    <w:p>
      <w:r>
        <w:rPr>
          <w:rFonts w:ascii="宋体" w:hAnsi="宋体" w:eastAsia="宋体"/>
          <w:sz w:val="24"/>
        </w:rPr>
        <w:t>温国强主编；王雅戈副主编；郭丽芳，郭劲赤，衡中青等编写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2266-2008《索引编制规则（总则）》应用指南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温国强主编；王雅戈副主编；郭丽芳，郭劲赤，衡中青等编写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本书出售、求购地址：https://www.jiaokey.com/book/detail/13148192.html</w:t>
      </w:r>
    </w:p>
    <w:p>
      <w:r>
        <w:t>更多相关图书推荐：https://www.jiaokey.com</w:t>
      </w:r>
    </w:p>
    <w:p>
      <w:r>
        <w:t>温国强主编；王雅戈副主编；郭丽芳，郭劲赤，衡中青等编写 其他作品：https://www.jiaokey.com/tag/温国强主编；王雅戈副主编；郭丽芳，郭劲赤，衡中青等编写.html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关键词搜索：https://www.jiaokey.com/tag/GB/T 2266-2008《索引编制规则（总则）》应用指南.html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