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华北乡村织布工业与商人雇主制度</w:t>
      </w:r>
    </w:p>
    <w:p>
      <w:r>
        <w:rPr>
          <w:rFonts w:ascii="宋体" w:hAnsi="宋体" w:eastAsia="宋体"/>
          <w:sz w:val="24"/>
        </w:rPr>
        <w:t>方显廷著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华北乡村织布工业与商人雇主制度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方显廷著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南开大学经济研究所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本书出售、求购地址：https://www.jiaokey.com/book/detail/13147407.html</w:t>
      </w:r>
    </w:p>
    <w:p>
      <w:r>
        <w:t>更多相关图书推荐：https://www.jiaokey.com</w:t>
      </w:r>
    </w:p>
    <w:p>
      <w:r>
        <w:t>方显廷著 其他作品：https://www.jiaokey.com/tag/方显廷著.html</w:t>
      </w:r>
    </w:p>
    <w:p>
      <w:r>
        <w:t>南开大学经济研究所 出版图书：https://www.jiaokey.com/tag/南开大学经济研究所.html</w:t>
      </w:r>
    </w:p>
    <w:p>
      <w:r>
        <w:t>关键词搜索：https://www.jiaokey.com/tag/华北乡村织布工业与商人雇主制度.html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