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犯罪状况及其分析  中华民国98年</w:t>
      </w:r>
    </w:p>
    <w:p>
      <w:r>
        <w:rPr>
          <w:rFonts w:ascii="宋体" w:hAnsi="宋体" w:eastAsia="宋体"/>
          <w:sz w:val="24"/>
        </w:rPr>
        <w:t>法务部保护司编辑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犯罪状况及其分析  中华民国98年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法务部保护司编辑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本书出售、求购地址：https://www.jiaokey.com/book/detail/13144897.html</w:t>
      </w:r>
    </w:p>
    <w:p>
      <w:r>
        <w:t>更多相关图书推荐：https://www.jiaokey.com</w:t>
      </w:r>
    </w:p>
    <w:p>
      <w:r>
        <w:t>法务部保护司编辑 其他作品：https://www.jiaokey.com/tag/法务部保护司编辑.html</w:t>
      </w:r>
    </w:p>
    <w:p>
      <w:r>
        <w:t>法务部 出版图书：https://www.jiaokey.com/tag/法务部.html</w:t>
      </w:r>
    </w:p>
    <w:p>
      <w:r>
        <w:t>关键词搜索：https://www.jiaokey.com/tag/犯罪状况及其分析  中华民国98年.html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