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问题研析  民事诉讼法  四</w:t>
      </w:r>
    </w:p>
    <w:p>
      <w:r>
        <w:rPr>
          <w:rFonts w:ascii="宋体" w:hAnsi="宋体" w:eastAsia="宋体"/>
          <w:sz w:val="24"/>
        </w:rPr>
        <w:t>杨建华原著；陈心弘增订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问题研析  民事诉讼法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杨建华原著；陈心弘增订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本书出售、求购地址：https://www.jiaokey.com/book/detail/13144785.html</w:t>
      </w:r>
    </w:p>
    <w:p>
      <w:r>
        <w:t>更多相关图书推荐：https://www.jiaokey.com</w:t>
      </w:r>
    </w:p>
    <w:p>
      <w:r>
        <w:t>杨建华原著；陈心弘增订 其他作品：https://www.jiaokey.com/tag/杨建华原著；陈心弘增订.html</w:t>
      </w:r>
    </w:p>
    <w:p>
      <w:r>
        <w:t>三民书局有限公司 出版图书：https://www.jiaokey.com/tag/三民书局有限公司.html</w:t>
      </w:r>
    </w:p>
    <w:p>
      <w:r>
        <w:t>关键词搜索：https://www.jiaokey.com/tag/问题研析  民事诉讼法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