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游戏产业投资攻略</w:t>
      </w:r>
    </w:p>
    <w:p>
      <w:r>
        <w:rPr>
          <w:rFonts w:ascii="宋体" w:hAnsi="宋体" w:eastAsia="宋体"/>
          <w:sz w:val="24"/>
        </w:rPr>
        <w:t>杨淑慧，颜惠君，陈盈华主编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游戏产业投资攻略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杨淑慧，颜惠君，陈盈华主编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本书出售、求购地址：https://www.jiaokey.com/book/detail/13144747.html</w:t>
      </w:r>
    </w:p>
    <w:p>
      <w:r>
        <w:t>更多相关图书推荐：https://www.jiaokey.com</w:t>
      </w:r>
    </w:p>
    <w:p>
      <w:r>
        <w:t>杨淑慧，颜惠君，陈盈华主编 其他作品：https://www.jiaokey.com/tag/杨淑慧，颜惠君，陈盈华主编.html</w:t>
      </w:r>
    </w:p>
    <w:p>
      <w:r>
        <w:t>财信出版有限公司 出版图书：https://www.jiaokey.com/tag/财信出版有限公司.html</w:t>
      </w:r>
    </w:p>
    <w:p>
      <w:r>
        <w:t>关键词搜索：https://www.jiaokey.com/tag/游戏产业投资攻略.html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