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孔型设计  上</w:t>
      </w:r>
    </w:p>
    <w:p>
      <w:r>
        <w:rPr>
          <w:rFonts w:ascii="宋体" w:hAnsi="宋体" w:eastAsia="宋体"/>
          <w:sz w:val="24"/>
        </w:rPr>
        <w:t>（苏）巴赫契诺夫Б.П.，（苏）史捷尔诺夫М.М.著；陈铁生等译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孔型设计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（苏）巴赫契诺夫Б.П.，（苏）史捷尔诺夫М.М.著；陈铁生等译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本书出售、求购地址：https://www.jiaokey.com/book/detail/13143072.html</w:t>
      </w:r>
    </w:p>
    <w:p>
      <w:r>
        <w:t>更多相关图书推荐：https://www.jiaokey.com</w:t>
      </w:r>
    </w:p>
    <w:p>
      <w:r>
        <w:t>（苏）巴赫契诺夫Б.П.，（苏）史捷尔诺夫М.М.著；陈铁生等译 其他作品：https://www.jiaokey.com/tag/（苏）巴赫契诺夫Б.П.，（苏）史捷尔诺夫М.М.著；陈铁生等译.html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孔型设计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