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  2011</w:t>
      </w:r>
    </w:p>
    <w:p>
      <w:r>
        <w:rPr>
          <w:rFonts w:ascii="宋体" w:hAnsi="宋体" w:eastAsia="宋体"/>
          <w:sz w:val="24"/>
        </w:rPr>
        <w:t>陶德麟主编；汪信砚，何萍副主编；李志，陈立新，陈祖华编委会成员；李志本辑执行主编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陶德麟主编；汪信砚，何萍副主编；李志，陈立新，陈祖华编委会成员；李志本辑执行主编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本书出售、求购地址：https://www.jiaokey.com/book/detail/13142013.html</w:t>
      </w:r>
    </w:p>
    <w:p>
      <w:r>
        <w:t>更多相关图书推荐：https://www.jiaokey.com</w:t>
      </w:r>
    </w:p>
    <w:p>
      <w:r>
        <w:t>陶德麟主编；汪信砚，何萍副主编；李志，陈立新，陈祖华编委会成员；李志本辑执行主编 其他作品：https://www.jiaokey.com/tag/陶德麟主编；汪信砚，何萍副主编；李志，陈立新，陈祖华编委会成员；李志本辑执行主编.html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关键词搜索：https://www.jiaokey.com/tag/马克思主义哲学研究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