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南国艺术  2011年  第4期  总35斯  季刊</w:t>
      </w:r>
    </w:p>
    <w:p>
      <w:r>
        <w:rPr>
          <w:rFonts w:ascii="宋体" w:hAnsi="宋体" w:eastAsia="宋体"/>
          <w:sz w:val="24"/>
        </w:rPr>
        <w:t>福田区文联主办；孙静编审；李雷鸣主编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南国艺术  2011年  第4期  总35斯  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福田区文联主办；孙静编审；李雷鸣主编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本书出售、求购地址：https://www.jiaokey.com/book/detail/13141642.html</w:t>
      </w:r>
    </w:p>
    <w:p>
      <w:r>
        <w:t>更多相关图书推荐：https://www.jiaokey.com</w:t>
      </w:r>
    </w:p>
    <w:p>
      <w:r>
        <w:t>福田区文联主办；孙静编审；李雷鸣主编 其他作品：https://www.jiaokey.com/tag/福田区文联主办；孙静编审；李雷鸣主编.html</w:t>
      </w:r>
    </w:p>
    <w:p>
      <w:r>
        <w:t>福田书画院 出版图书：https://www.jiaokey.com/tag/福田书画院.html</w:t>
      </w:r>
    </w:p>
    <w:p>
      <w:r>
        <w:t>关键词搜索：https://www.jiaokey.com/tag/南国艺术  2011年  第4期  总35斯  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