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汽车发动机构造及原理</w:t>
      </w:r>
    </w:p>
    <w:p>
      <w:r>
        <w:rPr>
          <w:rFonts w:ascii="宋体" w:hAnsi="宋体" w:eastAsia="宋体"/>
          <w:sz w:val="24"/>
        </w:rPr>
        <w:t>尉庆国，苏铁熊，董小瑞主编；王强，王艳华，王悦芳，王军参编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汽车发动机构造及原理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尉庆国，苏铁熊，董小瑞主编；王强，王艳华，王悦芳，王军参编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本书出售、求购地址：https://www.jiaokey.com/book/detail/13141520.html</w:t>
      </w:r>
    </w:p>
    <w:p>
      <w:r>
        <w:t>更多相关图书推荐：https://www.jiaokey.com</w:t>
      </w:r>
    </w:p>
    <w:p>
      <w:r>
        <w:t>尉庆国，苏铁熊，董小瑞主编；王强，王艳华，王悦芳，王军参编 其他作品：https://www.jiaokey.com/tag/尉庆国，苏铁熊，董小瑞主编；王强，王艳华，王悦芳，王军参编.html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关键词搜索：https://www.jiaokey.com/tag/汽车发动机构造及原理.html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