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短期精神动力心理治疗  核心冲突关系主题法</w:t>
      </w:r>
    </w:p>
    <w:p>
      <w:r>
        <w:rPr>
          <w:rFonts w:ascii="宋体" w:hAnsi="宋体" w:eastAsia="宋体"/>
          <w:sz w:val="24"/>
        </w:rPr>
        <w:t>Howard E.Book著；吕宏晓译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短期精神动力心理治疗  核心冲突关系主题法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E.Book著；吕宏晓译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本书出售、求购地址：https://www.jiaokey.com/book/detail/13141032.html</w:t>
      </w:r>
    </w:p>
    <w:p>
      <w:r>
        <w:t>更多相关图书推荐：https://www.jiaokey.com</w:t>
      </w:r>
    </w:p>
    <w:p>
      <w:r>
        <w:t>Howard E.Book著；吕宏晓译 其他作品：https://www.jiaokey.com/tag/Howard E.Book著；吕宏晓译.html</w:t>
      </w:r>
    </w:p>
    <w:p>
      <w:r>
        <w:t>心理出版社 出版图书：https://www.jiaokey.com/tag/心理出版社.html</w:t>
      </w:r>
    </w:p>
    <w:p>
      <w:r>
        <w:t>关键词搜索：https://www.jiaokey.com/tag/短期精神动力心理治疗  核心冲突关系主题法.html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