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 TOOLS6.0源程序剖析TURBO C高级程序设计实例  上</w:t>
      </w:r>
    </w:p>
    <w:p>
      <w:r>
        <w:rPr>
          <w:rFonts w:ascii="宋体" w:hAnsi="宋体" w:eastAsia="宋体"/>
          <w:sz w:val="24"/>
        </w:rPr>
        <w:t>李文编译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 TOOLS6.0源程序剖析TURBO C高级程序设计实例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北京：北京市新闻出版社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本书出售、求购地址：https://www.jiaokey.com/book/detail/13141005.html</w:t>
      </w:r>
    </w:p>
    <w:p>
      <w:r>
        <w:t>更多相关图书推荐：https://www.jiaokey.com</w:t>
      </w:r>
    </w:p>
    <w:p>
      <w:r>
        <w:t>李文编译 其他作品：https://www.jiaokey.com/tag/李文编译.html</w:t>
      </w:r>
    </w:p>
    <w:p>
      <w:r>
        <w:t>北京：北京市新闻出版社 出版图书：https://www.jiaokey.com/tag/北京：北京市新闻出版社.html</w:t>
      </w:r>
    </w:p>
    <w:p>
      <w:r>
        <w:t>关键词搜索：https://www.jiaokey.com/tag/Turbo C TOOLS6.0源程序剖析TURBO C高级程序设计实例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