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货币与经济体系</w:t>
      </w:r>
    </w:p>
    <w:p>
      <w:r>
        <w:rPr>
          <w:rFonts w:ascii="宋体" w:hAnsi="宋体" w:eastAsia="宋体"/>
          <w:sz w:val="24"/>
        </w:rPr>
        <w:t>布恩斯坦著；刘镇泉译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货币与经济体系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布恩斯坦著；刘镇泉译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中央银行经济研究处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本书出售、求购地址：https://www.jiaokey.com/book/detail/13140041.html</w:t>
      </w:r>
    </w:p>
    <w:p>
      <w:r>
        <w:t>更多相关图书推荐：https://www.jiaokey.com</w:t>
      </w:r>
    </w:p>
    <w:p>
      <w:r>
        <w:t>布恩斯坦著；刘镇泉译 其他作品：https://www.jiaokey.com/tag/布恩斯坦著；刘镇泉译.html</w:t>
      </w:r>
    </w:p>
    <w:p>
      <w:r>
        <w:t>中央银行经济研究处 出版图书：https://www.jiaokey.com/tag/中央银行经济研究处.html</w:t>
      </w:r>
    </w:p>
    <w:p>
      <w:r>
        <w:t>关键词搜索：https://www.jiaokey.com/tag/货币与经济体系.html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