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</w:t>
      </w:r>
    </w:p>
    <w:p>
      <w:r>
        <w:rPr>
          <w:rFonts w:ascii="宋体" w:hAnsi="宋体" w:eastAsia="宋体"/>
          <w:sz w:val="24"/>
        </w:rPr>
        <w:t>（日）堀江归一著；李翰章，李克谦译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（日）堀江归一著；李翰章，李克谦译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早（稻田）大（学）中华研学社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本书出售、求购地址：https://www.jiaokey.com/book/detail/13140034.html</w:t>
      </w:r>
    </w:p>
    <w:p>
      <w:r>
        <w:t>更多相关图书推荐：https://www.jiaokey.com</w:t>
      </w:r>
    </w:p>
    <w:p>
      <w:r>
        <w:t>（日）堀江归一著；李翰章，李克谦译 其他作品：https://www.jiaokey.com/tag/（日）堀江归一著；李翰章，李克谦译.html</w:t>
      </w:r>
    </w:p>
    <w:p>
      <w:r>
        <w:t>早（稻田）大（学）中华研学社 出版图书：https://www.jiaokey.com/tag/早（稻田）大（学）中华研学社.html</w:t>
      </w:r>
    </w:p>
    <w:p>
      <w:r>
        <w:t>关键词搜索：https://www.jiaokey.com/tag/货币论.html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