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财务状况表之如何估计</w:t>
      </w:r>
    </w:p>
    <w:p>
      <w:r>
        <w:rPr>
          <w:rFonts w:ascii="宋体" w:hAnsi="宋体" w:eastAsia="宋体"/>
          <w:sz w:val="24"/>
        </w:rPr>
        <w:t>（美）（窝尔）（A.Wall）著；朱通九，周吉云译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财务状况表之如何估计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（美）（窝尔）（A.Wall）著；朱通九，周吉云译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交通银行总管理处设计处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本书出售、求购地址：https://www.jiaokey.com/book/detail/13139963.html</w:t>
      </w:r>
    </w:p>
    <w:p>
      <w:r>
        <w:t>更多相关图书推荐：https://www.jiaokey.com</w:t>
      </w:r>
    </w:p>
    <w:p>
      <w:r>
        <w:t>（美）（窝尔）（A.Wall）著；朱通九，周吉云译 其他作品：https://www.jiaokey.com/tag/（美）（窝尔）（A.Wall）著；朱通九，周吉云译.html</w:t>
      </w:r>
    </w:p>
    <w:p>
      <w:r>
        <w:t>交通银行总管理处设计处 出版图书：https://www.jiaokey.com/tag/交通银行总管理处设计处.html</w:t>
      </w:r>
    </w:p>
    <w:p>
      <w:r>
        <w:t>关键词搜索：https://www.jiaokey.com/tag/财务状况表之如何估计.html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