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设计规范水力发电厂的压力钢管</w:t>
      </w:r>
    </w:p>
    <w:p>
      <w:r>
        <w:rPr>
          <w:rFonts w:ascii="宋体" w:hAnsi="宋体" w:eastAsia="宋体"/>
          <w:sz w:val="24"/>
        </w:rPr>
        <w:t>苏联电站部建筑安装生产技术管理局批准，孙羚生译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设计规范水力发电厂的压力钢管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苏联电站部建筑安装生产技术管理局批准，孙羚生译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本书出售、求购地址：https://www.jiaokey.com/book/detail/13139693.html</w:t>
      </w:r>
    </w:p>
    <w:p>
      <w:r>
        <w:t>更多相关图书推荐：https://www.jiaokey.com</w:t>
      </w:r>
    </w:p>
    <w:p>
      <w:r>
        <w:t>苏联电站部建筑安装生产技术管理局批准，孙羚生译 其他作品：https://www.jiaokey.com/tag/苏联电站部建筑安装生产技术管理局批准，孙羚生译.html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关键词搜索：https://www.jiaokey.com/tag/设计规范水力发电厂的压力钢管.html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