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北京大学国学门藏殷虚文字考释</w:t>
      </w:r>
    </w:p>
    <w:p>
      <w:r>
        <w:rPr>
          <w:rFonts w:ascii="宋体" w:hAnsi="宋体" w:eastAsia="宋体"/>
          <w:sz w:val="24"/>
        </w:rPr>
        <w:t>严一萍撰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北京大学国学门藏殷虚文字考释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严一萍撰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本书出售、求购地址：https://www.jiaokey.com/book/detail/13134800.html</w:t>
      </w:r>
    </w:p>
    <w:p>
      <w:r>
        <w:t>更多相关图书推荐：https://www.jiaokey.com</w:t>
      </w:r>
    </w:p>
    <w:p>
      <w:r>
        <w:t>严一萍撰 其他作品：https://www.jiaokey.com/tag/严一萍撰.html</w:t>
      </w:r>
    </w:p>
    <w:p>
      <w:r>
        <w:t>艺文印书馆 出版图书：https://www.jiaokey.com/tag/艺文印书馆.html</w:t>
      </w:r>
    </w:p>
    <w:p>
      <w:r>
        <w:t>关键词搜索：https://www.jiaokey.com/tag/北京大学国学门藏殷虚文字考释.html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