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童子军教育原理</w:t>
      </w:r>
    </w:p>
    <w:p>
      <w:r>
        <w:rPr>
          <w:rFonts w:ascii="宋体" w:hAnsi="宋体" w:eastAsia="宋体"/>
          <w:sz w:val="24"/>
        </w:rPr>
        <w:t>（英）贝登堡著；赵邦鑅译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（英）贝登堡著；赵邦鑅译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本书出售、求购地址：https://www.jiaokey.com/book/detail/13133400.html</w:t>
      </w:r>
    </w:p>
    <w:p>
      <w:r>
        <w:t>更多相关图书推荐：https://www.jiaokey.com</w:t>
      </w:r>
    </w:p>
    <w:p>
      <w:r>
        <w:t>（英）贝登堡著；赵邦鑅译 其他作品：https://www.jiaokey.com/tag/（英）贝登堡著；赵邦鑅译.html</w:t>
      </w:r>
    </w:p>
    <w:p>
      <w:r>
        <w:t>正中书局 出版图书：https://www.jiaokey.com/tag/正中书局.html</w:t>
      </w:r>
    </w:p>
    <w:p>
      <w:r>
        <w:t>关键词搜索：https://www.jiaokey.com/tag/童子军教育原理.html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