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环境永续与性别平等</w:t>
      </w:r>
    </w:p>
    <w:p>
      <w:r>
        <w:rPr>
          <w:rFonts w:ascii="宋体" w:hAnsi="宋体" w:eastAsia="宋体"/>
          <w:sz w:val="24"/>
        </w:rPr>
        <w:t>Lorraine Corner著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环境永续与性别平等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Corner著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财团法人妇女权益促进发展基金会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本书出售、求购地址：https://www.jiaokey.com/book/detail/13131824.html</w:t>
      </w:r>
    </w:p>
    <w:p>
      <w:r>
        <w:t>更多相关图书推荐：https://www.jiaokey.com</w:t>
      </w:r>
    </w:p>
    <w:p>
      <w:r>
        <w:t>Lorraine Corner著 其他作品：https://www.jiaokey.com/tag/Lorraine Corner著.html</w:t>
      </w:r>
    </w:p>
    <w:p>
      <w:r>
        <w:t>财团法人妇女权益促进发展基金会 出版图书：https://www.jiaokey.com/tag/财团法人妇女权益促进发展基金会.html</w:t>
      </w:r>
    </w:p>
    <w:p>
      <w:r>
        <w:t>关键词搜索：https://www.jiaokey.com/tag/环境永续与性别平等.html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