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春耕视察记  土地改革后的农民是怎样组织春耕生产的</w:t>
      </w:r>
    </w:p>
    <w:p>
      <w:r>
        <w:rPr>
          <w:rFonts w:ascii="宋体" w:hAnsi="宋体" w:eastAsia="宋体"/>
          <w:sz w:val="24"/>
        </w:rPr>
        <w:t>于毅夫著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春耕视察记  土地改革后的农民是怎样组织春耕生产的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本书出售、求购地址：https://www.jiaokey.com/book/detail/13130749.html</w:t>
      </w:r>
    </w:p>
    <w:p>
      <w:r>
        <w:t>更多相关图书推荐：https://www.jiaokey.com</w:t>
      </w:r>
    </w:p>
    <w:p>
      <w:r>
        <w:t>于毅夫著 其他作品：https://www.jiaokey.com/tag/于毅夫著.html</w:t>
      </w:r>
    </w:p>
    <w:p>
      <w:r>
        <w:t>新文化出版社 出版图书：https://www.jiaokey.com/tag/新文化出版社.html</w:t>
      </w:r>
    </w:p>
    <w:p>
      <w:r>
        <w:t>关键词搜索：https://www.jiaokey.com/tag/春耕视察记  土地改革后的农民是怎样组织春耕生产的.html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