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中国新税制</w:t>
      </w:r>
    </w:p>
    <w:p>
      <w:r>
        <w:rPr>
          <w:rFonts w:ascii="宋体" w:hAnsi="宋体" w:eastAsia="宋体"/>
          <w:sz w:val="24"/>
        </w:rPr>
        <w:t>黄桂香，敖卫平主编；张德军，黄智惠，易四元，倪久斌副主编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7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黄桂香，敖卫平主编；张德军，黄智惠，易四元，倪久斌副主编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税收制度(学科: 概论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本书出售、求购地址：https://www.jiaokey.com/book/detail/13127200.html</w:t>
      </w:r>
    </w:p>
    <w:p>
      <w:r>
        <w:t>更多相关图书推荐：https://www.jiaokey.com</w:t>
      </w:r>
    </w:p>
    <w:p>
      <w:r>
        <w:t>黄桂香，敖卫平主编；张德军，黄智惠，易四元，倪久斌副主编 其他作品：https://www.jiaokey.com/tag/黄桂香，敖卫平主编；张德军，黄智惠，易四元，倪久斌副主编.html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关键词搜索：https://www.jiaokey.com/tag/税收制度(学科: 概论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